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color w:val="2F9E8F"/>
          <w:sz w:val="22"/>
        </w:rPr>
        <w:t>STRATEGY MEMO</w:t>
      </w:r>
    </w:p>
    <w:p>
      <w:pPr>
        <w:spacing w:after="0"/>
      </w:pPr>
      <w:r>
        <w:rPr>
          <w:rFonts w:ascii="Arial" w:hAnsi="Arial"/>
          <w:b/>
          <w:color w:val="1F3864"/>
          <w:sz w:val="60"/>
        </w:rPr>
        <w:t>MarketPulse</w:t>
      </w:r>
    </w:p>
    <w:p>
      <w:pPr>
        <w:pBdr>
          <w:bottom w:val="single" w:sz="12" w:space="4" w:color="2F9E8F"/>
        </w:pBdr>
        <w:spacing w:after="200"/>
      </w:pPr>
      <w:r>
        <w:rPr>
          <w:color w:val="595959"/>
          <w:sz w:val="26"/>
        </w:rPr>
        <w:t>Architecting Profitable Multi-Market Expansion for Ai Palette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1296"/>
          </w:tcPr>
          <w:p>
            <w:r/>
            <w:r>
              <w:rPr>
                <w:rFonts w:ascii="Arial" w:hAnsi="Arial"/>
                <w:b/>
                <w:color w:val="2E5496"/>
                <w:sz w:val="19"/>
              </w:rPr>
              <w:t>To</w:t>
            </w:r>
          </w:p>
        </w:tc>
        <w:tc>
          <w:tcPr>
            <w:tcW w:type="dxa" w:w="8352"/>
          </w:tcPr>
          <w:p>
            <w:r/>
            <w:r>
              <w:rPr>
                <w:rFonts w:ascii="Arial" w:hAnsi="Arial"/>
                <w:b w:val="0"/>
                <w:sz w:val="19"/>
              </w:rPr>
              <w:t>Ai Palette — CEO &amp; Leadership Team</w:t>
            </w:r>
          </w:p>
        </w:tc>
      </w:tr>
      <w:tr>
        <w:tc>
          <w:tcPr>
            <w:tcW w:type="dxa" w:w="1296"/>
          </w:tcPr>
          <w:p>
            <w:r/>
            <w:r>
              <w:rPr>
                <w:rFonts w:ascii="Arial" w:hAnsi="Arial"/>
                <w:b/>
                <w:color w:val="2E5496"/>
                <w:sz w:val="19"/>
              </w:rPr>
              <w:t>From</w:t>
            </w:r>
          </w:p>
        </w:tc>
        <w:tc>
          <w:tcPr>
            <w:tcW w:type="dxa" w:w="8352"/>
          </w:tcPr>
          <w:p>
            <w:r/>
            <w:r>
              <w:rPr>
                <w:rFonts w:ascii="Arial" w:hAnsi="Arial"/>
                <w:b w:val="0"/>
                <w:sz w:val="19"/>
              </w:rPr>
              <w:t>Product Strategy Taskforce</w:t>
            </w:r>
          </w:p>
        </w:tc>
      </w:tr>
      <w:tr>
        <w:tc>
          <w:tcPr>
            <w:tcW w:type="dxa" w:w="1296"/>
          </w:tcPr>
          <w:p>
            <w:r/>
            <w:r>
              <w:rPr>
                <w:rFonts w:ascii="Arial" w:hAnsi="Arial"/>
                <w:b/>
                <w:color w:val="2E5496"/>
                <w:sz w:val="19"/>
              </w:rPr>
              <w:t>Re</w:t>
            </w:r>
          </w:p>
        </w:tc>
        <w:tc>
          <w:tcPr>
            <w:tcW w:type="dxa" w:w="8352"/>
          </w:tcPr>
          <w:p>
            <w:r/>
            <w:r>
              <w:rPr>
                <w:rFonts w:ascii="Arial" w:hAnsi="Arial"/>
                <w:b w:val="0"/>
                <w:sz w:val="19"/>
              </w:rPr>
              <w:t>Phase 1 localization &amp; tiering · Phase 2 monetization &amp; GTM</w:t>
            </w:r>
          </w:p>
        </w:tc>
      </w:tr>
      <w:tr>
        <w:tc>
          <w:tcPr>
            <w:tcW w:type="dxa" w:w="1296"/>
          </w:tcPr>
          <w:p>
            <w:r/>
            <w:r>
              <w:rPr>
                <w:rFonts w:ascii="Arial" w:hAnsi="Arial"/>
                <w:b/>
                <w:color w:val="2E5496"/>
                <w:sz w:val="19"/>
              </w:rPr>
              <w:t>Note</w:t>
            </w:r>
          </w:p>
        </w:tc>
        <w:tc>
          <w:tcPr>
            <w:tcW w:type="dxa" w:w="8352"/>
          </w:tcPr>
          <w:p>
            <w:r/>
            <w:r>
              <w:rPr>
                <w:rFonts w:ascii="Arial" w:hAnsi="Arial"/>
                <w:b w:val="0"/>
                <w:sz w:val="19"/>
              </w:rPr>
              <w:t>Figures are illustrative, benchmark-anchored estimates — Ai Palette is private; no public financials exist.</w:t>
            </w:r>
          </w:p>
        </w:tc>
      </w:tr>
    </w:tbl>
    <w:p>
      <w:pPr>
        <w:spacing w:after="40"/>
      </w:pPr>
    </w:p>
    <w:p>
      <w:pPr>
        <w:pBdr>
          <w:bottom w:val="single" w:sz="14" w:space="4" w:color="2F9E8F"/>
        </w:pBdr>
        <w:spacing w:before="320" w:after="120"/>
      </w:pPr>
      <w:r>
        <w:rPr>
          <w:rFonts w:ascii="Arial" w:hAnsi="Arial"/>
          <w:b/>
          <w:color w:val="1F3864"/>
          <w:sz w:val="30"/>
        </w:rPr>
        <w:t>Executive summary (answer first)</w:t>
      </w:r>
    </w:p>
    <w:p>
      <w:pPr>
        <w:pBdr>
          <w:top w:val="single" w:sz="6" w:space="6" w:color="2E5496"/>
          <w:bottom w:val="single" w:sz="6" w:space="6" w:color="2E5496"/>
          <w:left w:val="single" w:sz="6" w:space="6" w:color="2E5496"/>
          <w:right w:val="single" w:sz="6" w:space="6" w:color="2E5496"/>
        </w:pBdr>
        <w:shd w:val="clear" w:fill="D9E1F2"/>
        <w:spacing w:after="160"/>
      </w:pPr>
      <w:r>
        <w:rPr>
          <w:rFonts w:ascii="Arial" w:hAnsi="Arial"/>
          <w:b/>
          <w:color w:val="1F3864"/>
          <w:sz w:val="22"/>
        </w:rPr>
        <w:t xml:space="preserve">Governing thought:  </w:t>
      </w:r>
      <w:r>
        <w:rPr>
          <w:rFonts w:ascii="Arial" w:hAnsi="Arial"/>
          <w:sz w:val="22"/>
        </w:rPr>
        <w:t>Ai Palette should stop scaling as one monolithic product and instead standardize the intelligence engine, localize only the edge, package by enterprise maturity, and price to regional willingness-to-pay — all run through one repeatable market-entry engine. This converts expansion from a cost-multiplier into a compounding growth system.</w:t>
      </w:r>
    </w:p>
    <w:p>
      <w:pPr>
        <w:spacing w:after="80"/>
      </w:pPr>
      <w:r>
        <w:rPr>
          <w:rFonts w:ascii="Arial" w:hAnsi="Arial"/>
          <w:b/>
          <w:i w:val="0"/>
          <w:sz w:val="21"/>
        </w:rPr>
        <w:t>Three things must be true, and our plan makes each true (the pyramid):</w:t>
      </w:r>
    </w:p>
    <w:p>
      <w:pPr>
        <w:pStyle w:val="ListNumber"/>
        <w:spacing w:after="60"/>
      </w:pPr>
      <w:r>
        <w:rPr>
          <w:rFonts w:ascii="Arial" w:hAnsi="Arial"/>
          <w:b/>
          <w:sz w:val="21"/>
        </w:rPr>
        <w:t>Scale is a product-architecture problem, not a market problem.</w:t>
      </w:r>
      <w:r>
        <w:rPr>
          <w:rFonts w:ascii="Arial" w:hAnsi="Arial"/>
          <w:sz w:val="21"/>
        </w:rPr>
        <w:t xml:space="preserve"> ~80% of the platform is universal; localize the ~20% edge (data sources, language, taxonomy, compliance, workflow) as configurable Market Packs, never code forks. Package into three maturity-based tiers.</w:t>
      </w:r>
    </w:p>
    <w:p>
      <w:pPr>
        <w:pStyle w:val="ListNumber"/>
        <w:spacing w:after="60"/>
      </w:pPr>
      <w:r>
        <w:rPr>
          <w:rFonts w:ascii="Arial" w:hAnsi="Arial"/>
          <w:b/>
          <w:sz w:val="21"/>
        </w:rPr>
        <w:t>Monetization must flex to willingness-to-pay without rebuilding product.</w:t>
      </w:r>
      <w:r>
        <w:rPr>
          <w:rFonts w:ascii="Arial" w:hAnsi="Arial"/>
          <w:sz w:val="21"/>
        </w:rPr>
        <w:t xml:space="preserve"> Adopt a hybrid model (subscription anchor + usage/credits as the value metric + seats), then apply regional price multipliers — price localization, not product localization.</w:t>
      </w:r>
    </w:p>
    <w:p>
      <w:pPr>
        <w:pStyle w:val="ListNumber"/>
        <w:spacing w:after="60"/>
      </w:pPr>
      <w:r>
        <w:rPr>
          <w:rFonts w:ascii="Arial" w:hAnsi="Arial"/>
          <w:b/>
          <w:sz w:val="21"/>
        </w:rPr>
        <w:t>Entry must be sequenced and repeatable.</w:t>
      </w:r>
      <w:r>
        <w:rPr>
          <w:rFonts w:ascii="Arial" w:hAnsi="Arial"/>
          <w:sz w:val="21"/>
        </w:rPr>
        <w:t xml:space="preserve"> Deepen the APAC home base, then attack the US, then broaden — governed by a scored attractiveness rubric and an automated decision engine, so each new market gets cheaper, not costlier.</w:t>
      </w:r>
    </w:p>
    <w:p>
      <w:pPr>
        <w:spacing w:after="160"/>
      </w:pPr>
      <w:r>
        <w:rPr>
          <w:rFonts w:ascii="Arial" w:hAnsi="Arial"/>
          <w:b w:val="0"/>
          <w:i w:val="0"/>
          <w:color w:val="385723"/>
          <w:sz w:val="21"/>
        </w:rPr>
        <w:t>Why now: the category is consolidating — Mintel acquired Black Swan Data in June 2025 — which vacates the nimble, end-to-end, multi-market NPD position Ai Palette is uniquely built to own. The window to claim it is open but closing.</w:t>
      </w:r>
    </w:p>
    <w:p>
      <w:pPr>
        <w:pBdr>
          <w:bottom w:val="single" w:sz="14" w:space="4" w:color="2F9E8F"/>
        </w:pBdr>
        <w:spacing w:before="320" w:after="120"/>
      </w:pPr>
      <w:r>
        <w:rPr>
          <w:rFonts w:ascii="Arial" w:hAnsi="Arial"/>
          <w:b/>
          <w:color w:val="1F3864"/>
          <w:sz w:val="30"/>
        </w:rPr>
        <w:t>The argument (Situation · Complication · Question · Answer)</w:t>
      </w:r>
    </w:p>
    <w:p>
      <w:pPr>
        <w:spacing w:before="200" w:after="60"/>
      </w:pPr>
      <w:r>
        <w:rPr>
          <w:rFonts w:ascii="Arial" w:hAnsi="Arial"/>
          <w:b/>
          <w:color w:val="2E5496"/>
          <w:sz w:val="24"/>
        </w:rPr>
        <w:t>1 · Situation</w:t>
      </w:r>
    </w:p>
    <w:p>
      <w:pPr>
        <w:spacing w:after="120"/>
      </w:pPr>
      <w:r>
        <w:rPr>
          <w:rFonts w:ascii="Arial" w:hAnsi="Arial"/>
          <w:b w:val="0"/>
          <w:i w:val="0"/>
          <w:sz w:val="21"/>
        </w:rPr>
        <w:t>Ai Palette is a strong, APAC-rooted AI consumer-insights and product-innovation platform (Foresight Engine, Concept Genie, Screen Winner, FoodGPT, Brand SAY), serving global CPG leaders (Nestlé, Danone, Kellogg's, Cargill, Olam) across 18 languages and 24 countries, on ~$13.5M raised. The product works; the logos are marquee. The mandate: scale across markets while protecting unit economics and operational efficiency.</w:t>
      </w:r>
    </w:p>
    <w:p>
      <w:pPr>
        <w:spacing w:before="200" w:after="60"/>
      </w:pPr>
      <w:r>
        <w:rPr>
          <w:rFonts w:ascii="Arial" w:hAnsi="Arial"/>
          <w:b/>
          <w:color w:val="2E5496"/>
          <w:sz w:val="24"/>
        </w:rPr>
        <w:t>2 · Complication</w:t>
      </w:r>
    </w:p>
    <w:p>
      <w:pPr>
        <w:pStyle w:val="ListBullet"/>
        <w:spacing w:after="60"/>
      </w:pPr>
      <w:r>
        <w:rPr>
          <w:rFonts w:ascii="Arial" w:hAnsi="Arial"/>
          <w:b/>
          <w:sz w:val="21"/>
        </w:rPr>
        <w:t>Markets are heterogeneous.</w:t>
      </w:r>
      <w:r>
        <w:rPr>
          <w:rFonts w:ascii="Arial" w:hAnsi="Arial"/>
          <w:sz w:val="21"/>
        </w:rPr>
        <w:t xml:space="preserve"> Consumer behavior, categories, language, channels, pricing tolerance, compliance and support expectations differ region to region; value depends on local data depth.</w:t>
      </w:r>
    </w:p>
    <w:p>
      <w:pPr>
        <w:pStyle w:val="ListBullet"/>
        <w:spacing w:after="60"/>
      </w:pPr>
      <w:r>
        <w:rPr>
          <w:rFonts w:ascii="Arial" w:hAnsi="Arial"/>
          <w:b/>
          <w:sz w:val="21"/>
        </w:rPr>
        <w:t>The naïve responses both fail.</w:t>
      </w:r>
      <w:r>
        <w:rPr>
          <w:rFonts w:ascii="Arial" w:hAnsi="Arial"/>
          <w:sz w:val="21"/>
        </w:rPr>
        <w:t xml:space="preserve"> Localize everything → engineering bloat and rising cost-to-serve. Localize nothing → weak local insight and lost deals. Either way, operational complexity grows faster than revenue.</w:t>
      </w:r>
    </w:p>
    <w:p>
      <w:pPr>
        <w:pStyle w:val="ListBullet"/>
        <w:spacing w:after="60"/>
      </w:pPr>
      <w:r>
        <w:rPr>
          <w:rFonts w:ascii="Arial" w:hAnsi="Arial"/>
          <w:b/>
          <w:sz w:val="21"/>
        </w:rPr>
        <w:t>The competitive clock is ticking.</w:t>
      </w:r>
      <w:r>
        <w:rPr>
          <w:rFonts w:ascii="Arial" w:hAnsi="Arial"/>
          <w:sz w:val="21"/>
        </w:rPr>
        <w:t xml:space="preserve"> Consolidation (Mintel ← Black Swan, Jun-2025) means incumbents are buying AI prediction; differentiation must be locked in now.</w:t>
      </w:r>
    </w:p>
    <w:p>
      <w:pPr>
        <w:spacing w:before="200" w:after="60"/>
      </w:pPr>
      <w:r>
        <w:rPr>
          <w:rFonts w:ascii="Arial" w:hAnsi="Arial"/>
          <w:b/>
          <w:color w:val="2E5496"/>
          <w:sz w:val="24"/>
        </w:rPr>
        <w:t>3 · Question</w:t>
      </w:r>
    </w:p>
    <w:p>
      <w:pPr>
        <w:spacing w:after="120"/>
      </w:pPr>
      <w:r>
        <w:rPr>
          <w:rFonts w:ascii="Arial" w:hAnsi="Arial"/>
          <w:b/>
          <w:i w:val="0"/>
          <w:sz w:val="21"/>
        </w:rPr>
        <w:t>How should Ai Palette adapt, package, and price its product across markets to maximize revenue while minimizing the operational complexity of expansion?</w:t>
      </w:r>
    </w:p>
    <w:p>
      <w:pPr>
        <w:spacing w:before="200" w:after="60"/>
      </w:pPr>
      <w:r>
        <w:rPr>
          <w:rFonts w:ascii="Arial" w:hAnsi="Arial"/>
          <w:b/>
          <w:color w:val="2E5496"/>
          <w:sz w:val="24"/>
        </w:rPr>
        <w:t>4 · Answer</w:t>
      </w:r>
    </w:p>
    <w:p>
      <w:pPr>
        <w:spacing w:after="120"/>
      </w:pPr>
      <w:r>
        <w:rPr>
          <w:rFonts w:ascii="Arial" w:hAnsi="Arial"/>
          <w:b w:val="0"/>
          <w:i w:val="0"/>
          <w:sz w:val="21"/>
        </w:rPr>
        <w:t>Treat localization, packaging, pricing, and go-to-market as one connected architecture — not four separate decisions — and make it repeatable. The three pillars below prove it.</w:t>
      </w:r>
    </w:p>
    <w:p>
      <w:pPr>
        <w:pBdr>
          <w:bottom w:val="single" w:sz="14" w:space="4" w:color="2F9E8F"/>
        </w:pBdr>
        <w:spacing w:before="320" w:after="120"/>
      </w:pPr>
      <w:r>
        <w:rPr>
          <w:rFonts w:ascii="Arial" w:hAnsi="Arial"/>
          <w:b/>
          <w:color w:val="1F3864"/>
          <w:sz w:val="30"/>
        </w:rPr>
        <w:t>Pillar 1 — Productize the scale  (Phase 1)</w:t>
      </w:r>
    </w:p>
    <w:p>
      <w:pPr>
        <w:spacing w:after="120"/>
      </w:pPr>
      <w:r>
        <w:rPr>
          <w:rFonts w:ascii="Arial" w:hAnsi="Arial"/>
          <w:b w:val="0"/>
          <w:i w:val="0"/>
          <w:sz w:val="21"/>
        </w:rPr>
        <w:t>Framework: the value chain. A trend-intelligence platform is a pipeline (collect → process → surface → concept → screen → deliver). The intelligence is universal; only the inputs, compliance and workflow are local. So we standardize the middle and localize the two ends.</w:t>
      </w:r>
    </w:p>
    <w:p>
      <w:pPr>
        <w:pStyle w:val="ListBullet"/>
        <w:spacing w:after="60"/>
      </w:pPr>
      <w:r>
        <w:rPr>
          <w:rFonts w:ascii="Arial" w:hAnsi="Arial"/>
          <w:b/>
          <w:sz w:val="21"/>
        </w:rPr>
        <w:t>Localization-matrix verdict:</w:t>
      </w:r>
      <w:r>
        <w:rPr>
          <w:rFonts w:ascii="Arial" w:hAnsi="Arial"/>
          <w:sz w:val="21"/>
        </w:rPr>
        <w:t xml:space="preserve"> global = ML core, generative model, ingestion framework; localize = data sources, language/NLP, taxonomy, compliance/residency, enterprise integrations (top tier only); defer = full UI translation.</w:t>
      </w:r>
    </w:p>
    <w:p>
      <w:pPr>
        <w:pStyle w:val="ListBullet"/>
        <w:spacing w:after="60"/>
      </w:pPr>
      <w:r>
        <w:rPr>
          <w:rFonts w:ascii="Arial" w:hAnsi="Arial"/>
          <w:b/>
          <w:sz w:val="21"/>
        </w:rPr>
        <w:t>Bloat firewall:</w:t>
      </w:r>
      <w:r>
        <w:rPr>
          <w:rFonts w:ascii="Arial" w:hAnsi="Arial"/>
          <w:sz w:val="21"/>
        </w:rPr>
        <w:t xml:space="preserve"> ship localization as a Market Pack abstraction — configuration, never a code branch. Keeps ~80% of code shared.</w:t>
      </w:r>
    </w:p>
    <w:p>
      <w:pPr>
        <w:pStyle w:val="ListBullet"/>
        <w:spacing w:after="60"/>
      </w:pPr>
      <w:r>
        <w:rPr>
          <w:rFonts w:ascii="Arial" w:hAnsi="Arial"/>
          <w:b/>
          <w:sz w:val="21"/>
        </w:rPr>
        <w:t>Tier by enterprise maturity:</w:t>
      </w:r>
      <w:r>
        <w:rPr>
          <w:rFonts w:ascii="Arial" w:hAnsi="Arial"/>
          <w:sz w:val="21"/>
        </w:rPr>
        <w:t xml:space="preserve"> Essentials / Growth / Enterprise mapped to Exploratory → Operationalizing → Industrialized maturity; one product gated by entitlements; four upsell levers (markets, categories, usage, seats).</w:t>
      </w:r>
    </w:p>
    <w:p>
      <w:pPr>
        <w:pBdr>
          <w:bottom w:val="single" w:sz="14" w:space="4" w:color="2F9E8F"/>
        </w:pBdr>
        <w:spacing w:before="320" w:after="120"/>
      </w:pPr>
      <w:r>
        <w:rPr>
          <w:rFonts w:ascii="Arial" w:hAnsi="Arial"/>
          <w:b/>
          <w:color w:val="1F3864"/>
          <w:sz w:val="30"/>
        </w:rPr>
        <w:t>Pillar 2 — Monetize to willingness-to-pay  (Phase 2)</w:t>
      </w:r>
    </w:p>
    <w:p>
      <w:pPr>
        <w:spacing w:after="120"/>
      </w:pPr>
      <w:r>
        <w:rPr>
          <w:rFonts w:ascii="Arial" w:hAnsi="Arial"/>
          <w:b w:val="0"/>
          <w:i w:val="0"/>
          <w:sz w:val="21"/>
        </w:rPr>
        <w:t>Framework: value-based pricing + the pricing-model decision. 2025 benchmarks: pure per-seat is declining (57% and falling), usage is mainstream (61%), and hybrid posts the highest growth (~21%).</w:t>
      </w:r>
    </w:p>
    <w:p>
      <w:pPr>
        <w:pStyle w:val="ListBullet"/>
        <w:spacing w:after="60"/>
      </w:pPr>
      <w:r>
        <w:rPr>
          <w:rFonts w:ascii="Arial" w:hAnsi="Arial"/>
          <w:b/>
          <w:sz w:val="21"/>
        </w:rPr>
        <w:t>Model:</w:t>
      </w:r>
      <w:r>
        <w:rPr>
          <w:rFonts w:ascii="Arial" w:hAnsi="Arial"/>
          <w:sz w:val="21"/>
        </w:rPr>
        <w:t xml:space="preserve"> subscription (anchor) + usage/credits as the value metric (markets × categories × Concept Genie runs) + seats (expansion). We charge for breadth of intelligence consumed.</w:t>
      </w:r>
    </w:p>
    <w:p>
      <w:pPr>
        <w:pStyle w:val="ListBullet"/>
        <w:spacing w:after="60"/>
      </w:pPr>
      <w:r>
        <w:rPr>
          <w:rFonts w:ascii="Arial" w:hAnsi="Arial"/>
          <w:b/>
          <w:sz w:val="21"/>
        </w:rPr>
        <w:t>Regional WTP:</w:t>
      </w:r>
      <w:r>
        <w:rPr>
          <w:rFonts w:ascii="Arial" w:hAnsi="Arial"/>
          <w:sz w:val="21"/>
        </w:rPr>
        <w:t xml:space="preserve"> US &gt; W.Europe &gt; Japan/Korea &gt; SEA &gt; India. Apply price multipliers (0.35×–1.00×) and shift the tier mix we lead with — price localization, not product localization.</w:t>
      </w:r>
    </w:p>
    <w:p>
      <w:pPr>
        <w:pStyle w:val="ListBullet"/>
        <w:spacing w:after="60"/>
      </w:pPr>
      <w:r>
        <w:rPr>
          <w:rFonts w:ascii="Arial" w:hAnsi="Arial"/>
          <w:b/>
          <w:sz w:val="21"/>
        </w:rPr>
        <w:t>Retention:</w:t>
      </w:r>
      <w:r>
        <w:rPr>
          <w:rFonts w:ascii="Arial" w:hAnsi="Arial"/>
          <w:sz w:val="21"/>
        </w:rPr>
        <w:t xml:space="preserve"> target blended NRR ≥ 110% via the four upsell levers; annual contracts at Growth/Enterprise; monthly at Essentials to cut entry friction.</w:t>
      </w:r>
    </w:p>
    <w:p>
      <w:pPr>
        <w:pBdr>
          <w:bottom w:val="single" w:sz="14" w:space="4" w:color="2F9E8F"/>
        </w:pBdr>
        <w:spacing w:before="320" w:after="120"/>
      </w:pPr>
      <w:r>
        <w:rPr>
          <w:rFonts w:ascii="Arial" w:hAnsi="Arial"/>
          <w:b/>
          <w:color w:val="1F3864"/>
          <w:sz w:val="30"/>
        </w:rPr>
        <w:t>Pillar 3 — Sequence entry &amp; make it repeatable</w:t>
      </w:r>
    </w:p>
    <w:p>
      <w:pPr>
        <w:spacing w:after="120"/>
      </w:pPr>
      <w:r>
        <w:rPr>
          <w:rFonts w:ascii="Arial" w:hAnsi="Arial"/>
          <w:b w:val="0"/>
          <w:i w:val="0"/>
          <w:sz w:val="21"/>
        </w:rPr>
        <w:t>Framework: GE-McKinsey attractiveness × operating model. Score candidate markets on a weighted rubric (revenue 30% · data-readiness 20% · home-advantage 15% · competition⁻¹ 15% · regulation⁻¹ 10% · cost⁻¹ 10%).</w:t>
      </w:r>
    </w:p>
    <w:p>
      <w:pPr>
        <w:pStyle w:val="ListBullet"/>
        <w:spacing w:after="60"/>
      </w:pPr>
      <w:r>
        <w:rPr>
          <w:rFonts w:ascii="Arial" w:hAnsi="Arial"/>
          <w:b/>
          <w:sz w:val="21"/>
        </w:rPr>
        <w:t>Sequence:</w:t>
      </w:r>
      <w:r>
        <w:rPr>
          <w:rFonts w:ascii="Arial" w:hAnsi="Arial"/>
          <w:sz w:val="21"/>
        </w:rPr>
        <w:t xml:space="preserve"> Wave 1 deepen SEA + India (cheapest, highest data-readiness); Wave 2 attack the US (highest WTP + global-HQ pull-through); Wave 3 W.Europe (reuse US compliance) + Japan/Korea (partner-led).</w:t>
      </w:r>
    </w:p>
    <w:p>
      <w:pPr>
        <w:pStyle w:val="ListBullet"/>
        <w:spacing w:after="60"/>
      </w:pPr>
      <w:r>
        <w:rPr>
          <w:rFonts w:ascii="Arial" w:hAnsi="Arial"/>
          <w:b/>
          <w:sz w:val="21"/>
        </w:rPr>
        <w:t>Motion follows ACV:</w:t>
      </w:r>
      <w:r>
        <w:rPr>
          <w:rFonts w:ascii="Arial" w:hAnsi="Arial"/>
          <w:sz w:val="21"/>
        </w:rPr>
        <w:t xml:space="preserve"> PLG-assisted &lt;$10K · hybrid $25–60K · sales-led &gt;$80K. Spend human service only where ACV pays for it.</w:t>
      </w:r>
    </w:p>
    <w:p>
      <w:pPr>
        <w:pStyle w:val="ListBullet"/>
        <w:spacing w:after="60"/>
      </w:pPr>
      <w:r>
        <w:rPr>
          <w:rFonts w:ascii="Arial" w:hAnsi="Arial"/>
          <w:b/>
          <w:sz w:val="21"/>
        </w:rPr>
        <w:t>The engine:</w:t>
      </w:r>
      <w:r>
        <w:rPr>
          <w:rFonts w:ascii="Arial" w:hAnsi="Arial"/>
          <w:sz w:val="21"/>
        </w:rPr>
        <w:t xml:space="preserve"> intake → score → decide (rules → localization depth, tier/price, motion) → provision Market Entry Bundle → monitor (CAC payback ≤12–18mo, NRR ≥110%) → expand or exit.</w:t>
      </w:r>
    </w:p>
    <w:p>
      <w:pPr>
        <w:pBdr>
          <w:bottom w:val="single" w:sz="14" w:space="4" w:color="2F9E8F"/>
        </w:pBdr>
        <w:spacing w:before="320" w:after="120"/>
      </w:pPr>
      <w:r>
        <w:rPr>
          <w:rFonts w:ascii="Arial" w:hAnsi="Arial"/>
          <w:b/>
          <w:color w:val="1F3864"/>
          <w:sz w:val="30"/>
        </w:rPr>
        <w:t>Consulting frameworks applied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2573"/>
            <w:shd w:val="clear" w:fill="2E5496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Framework</w:t>
            </w:r>
          </w:p>
        </w:tc>
        <w:tc>
          <w:tcPr>
            <w:tcW w:type="dxa" w:w="3859"/>
            <w:shd w:val="clear" w:fill="2E5496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How we used it</w:t>
            </w:r>
          </w:p>
        </w:tc>
        <w:tc>
          <w:tcPr>
            <w:tcW w:type="dxa" w:w="3216"/>
            <w:shd w:val="clear" w:fill="2E5496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Conclusion</w:t>
            </w:r>
          </w:p>
        </w:tc>
      </w:tr>
      <w:tr>
        <w:tc>
          <w:tcPr>
            <w:tcW w:type="dxa" w:w="2573"/>
          </w:tcPr>
          <w:p>
            <w:r/>
            <w:r>
              <w:rPr>
                <w:rFonts w:ascii="Arial" w:hAnsi="Arial"/>
                <w:b w:val="0"/>
                <w:sz w:val="18"/>
              </w:rPr>
              <w:t>3C (Company/Customer/Competitor)</w:t>
            </w:r>
          </w:p>
        </w:tc>
        <w:tc>
          <w:tcPr>
            <w:tcW w:type="dxa" w:w="3859"/>
          </w:tcPr>
          <w:p>
            <w:r/>
            <w:r>
              <w:rPr>
                <w:rFonts w:ascii="Arial" w:hAnsi="Arial"/>
                <w:b w:val="0"/>
                <w:sz w:val="18"/>
              </w:rPr>
              <w:t>Strong product &amp; logos; heterogeneous buyers; consolidating rivals</w:t>
            </w:r>
          </w:p>
        </w:tc>
        <w:tc>
          <w:tcPr>
            <w:tcW w:type="dxa" w:w="3216"/>
          </w:tcPr>
          <w:p>
            <w:r/>
            <w:r>
              <w:rPr>
                <w:rFonts w:ascii="Arial" w:hAnsi="Arial"/>
                <w:b w:val="0"/>
                <w:sz w:val="18"/>
              </w:rPr>
              <w:t>Differentiate on end-to-end + APAC depth</w:t>
            </w:r>
          </w:p>
        </w:tc>
      </w:tr>
      <w:tr>
        <w:tc>
          <w:tcPr>
            <w:tcW w:type="dxa" w:w="2573"/>
            <w:shd w:val="clear" w:fill="F2F2F2"/>
          </w:tcPr>
          <w:p>
            <w:r/>
            <w:r>
              <w:rPr>
                <w:rFonts w:ascii="Arial" w:hAnsi="Arial"/>
                <w:b w:val="0"/>
                <w:sz w:val="18"/>
              </w:rPr>
              <w:t>Porter's Five Forces (light)</w:t>
            </w:r>
          </w:p>
        </w:tc>
        <w:tc>
          <w:tcPr>
            <w:tcW w:type="dxa" w:w="3859"/>
            <w:shd w:val="clear" w:fill="F2F2F2"/>
          </w:tcPr>
          <w:p>
            <w:r/>
            <w:r>
              <w:rPr>
                <w:rFonts w:ascii="Arial" w:hAnsi="Arial"/>
                <w:b w:val="0"/>
                <w:sz w:val="18"/>
              </w:rPr>
              <w:t>Rivalry rising; buyer power high; low switching once embedded</w:t>
            </w:r>
          </w:p>
        </w:tc>
        <w:tc>
          <w:tcPr>
            <w:tcW w:type="dxa" w:w="3216"/>
            <w:shd w:val="clear" w:fill="F2F2F2"/>
          </w:tcPr>
          <w:p>
            <w:r/>
            <w:r>
              <w:rPr>
                <w:rFonts w:ascii="Arial" w:hAnsi="Arial"/>
                <w:b w:val="0"/>
                <w:sz w:val="18"/>
              </w:rPr>
              <w:t>Embed via workflow + multi-market lock-in</w:t>
            </w:r>
          </w:p>
        </w:tc>
      </w:tr>
      <w:tr>
        <w:tc>
          <w:tcPr>
            <w:tcW w:type="dxa" w:w="2573"/>
          </w:tcPr>
          <w:p>
            <w:r/>
            <w:r>
              <w:rPr>
                <w:rFonts w:ascii="Arial" w:hAnsi="Arial"/>
                <w:b w:val="0"/>
                <w:sz w:val="18"/>
              </w:rPr>
              <w:t>Ansoff Matrix</w:t>
            </w:r>
          </w:p>
        </w:tc>
        <w:tc>
          <w:tcPr>
            <w:tcW w:type="dxa" w:w="3859"/>
          </w:tcPr>
          <w:p>
            <w:r/>
            <w:r>
              <w:rPr>
                <w:rFonts w:ascii="Arial" w:hAnsi="Arial"/>
                <w:b w:val="0"/>
                <w:sz w:val="18"/>
              </w:rPr>
              <w:t>Existing product → new geographies = market development</w:t>
            </w:r>
          </w:p>
        </w:tc>
        <w:tc>
          <w:tcPr>
            <w:tcW w:type="dxa" w:w="3216"/>
          </w:tcPr>
          <w:p>
            <w:r/>
            <w:r>
              <w:rPr>
                <w:rFonts w:ascii="Arial" w:hAnsi="Arial"/>
                <w:b w:val="0"/>
                <w:sz w:val="18"/>
              </w:rPr>
              <w:t>De-risk via tiering + sequencing</w:t>
            </w:r>
          </w:p>
        </w:tc>
      </w:tr>
      <w:tr>
        <w:tc>
          <w:tcPr>
            <w:tcW w:type="dxa" w:w="2573"/>
            <w:shd w:val="clear" w:fill="F2F2F2"/>
          </w:tcPr>
          <w:p>
            <w:r/>
            <w:r>
              <w:rPr>
                <w:rFonts w:ascii="Arial" w:hAnsi="Arial"/>
                <w:b w:val="0"/>
                <w:sz w:val="18"/>
              </w:rPr>
              <w:t>Value Chain</w:t>
            </w:r>
          </w:p>
        </w:tc>
        <w:tc>
          <w:tcPr>
            <w:tcW w:type="dxa" w:w="3859"/>
            <w:shd w:val="clear" w:fill="F2F2F2"/>
          </w:tcPr>
          <w:p>
            <w:r/>
            <w:r>
              <w:rPr>
                <w:rFonts w:ascii="Arial" w:hAnsi="Arial"/>
                <w:b w:val="0"/>
                <w:sz w:val="18"/>
              </w:rPr>
              <w:t>Separates universal engine from local edge</w:t>
            </w:r>
          </w:p>
        </w:tc>
        <w:tc>
          <w:tcPr>
            <w:tcW w:type="dxa" w:w="3216"/>
            <w:shd w:val="clear" w:fill="F2F2F2"/>
          </w:tcPr>
          <w:p>
            <w:r/>
            <w:r>
              <w:rPr>
                <w:rFonts w:ascii="Arial" w:hAnsi="Arial"/>
                <w:b w:val="0"/>
                <w:sz w:val="18"/>
              </w:rPr>
              <w:t>Standardize middle, localize ends</w:t>
            </w:r>
          </w:p>
        </w:tc>
      </w:tr>
      <w:tr>
        <w:tc>
          <w:tcPr>
            <w:tcW w:type="dxa" w:w="2573"/>
          </w:tcPr>
          <w:p>
            <w:r/>
            <w:r>
              <w:rPr>
                <w:rFonts w:ascii="Arial" w:hAnsi="Arial"/>
                <w:b w:val="0"/>
                <w:sz w:val="18"/>
              </w:rPr>
              <w:t>GE-McKinsey attractiveness</w:t>
            </w:r>
          </w:p>
        </w:tc>
        <w:tc>
          <w:tcPr>
            <w:tcW w:type="dxa" w:w="3859"/>
          </w:tcPr>
          <w:p>
            <w:r/>
            <w:r>
              <w:rPr>
                <w:rFonts w:ascii="Arial" w:hAnsi="Arial"/>
                <w:b w:val="0"/>
                <w:sz w:val="18"/>
              </w:rPr>
              <w:t>Scores markets on attractiveness vs. ability to win</w:t>
            </w:r>
          </w:p>
        </w:tc>
        <w:tc>
          <w:tcPr>
            <w:tcW w:type="dxa" w:w="3216"/>
          </w:tcPr>
          <w:p>
            <w:r/>
            <w:r>
              <w:rPr>
                <w:rFonts w:ascii="Arial" w:hAnsi="Arial"/>
                <w:b w:val="0"/>
                <w:sz w:val="18"/>
              </w:rPr>
              <w:t>3-wave entry sequence</w:t>
            </w:r>
          </w:p>
        </w:tc>
      </w:tr>
      <w:tr>
        <w:tc>
          <w:tcPr>
            <w:tcW w:type="dxa" w:w="2573"/>
            <w:shd w:val="clear" w:fill="F2F2F2"/>
          </w:tcPr>
          <w:p>
            <w:r/>
            <w:r>
              <w:rPr>
                <w:rFonts w:ascii="Arial" w:hAnsi="Arial"/>
                <w:b w:val="0"/>
                <w:sz w:val="18"/>
              </w:rPr>
              <w:t>Pricing-model decision</w:t>
            </w:r>
          </w:p>
        </w:tc>
        <w:tc>
          <w:tcPr>
            <w:tcW w:type="dxa" w:w="3859"/>
            <w:shd w:val="clear" w:fill="F2F2F2"/>
          </w:tcPr>
          <w:p>
            <w:r/>
            <w:r>
              <w:rPr>
                <w:rFonts w:ascii="Arial" w:hAnsi="Arial"/>
                <w:b w:val="0"/>
                <w:sz w:val="18"/>
              </w:rPr>
              <w:t>Per-seat vs usage vs hybrid against WTP</w:t>
            </w:r>
          </w:p>
        </w:tc>
        <w:tc>
          <w:tcPr>
            <w:tcW w:type="dxa" w:w="3216"/>
            <w:shd w:val="clear" w:fill="F2F2F2"/>
          </w:tcPr>
          <w:p>
            <w:r/>
            <w:r>
              <w:rPr>
                <w:rFonts w:ascii="Arial" w:hAnsi="Arial"/>
                <w:b w:val="0"/>
                <w:sz w:val="18"/>
              </w:rPr>
              <w:t>Hybrid + regional multipliers</w:t>
            </w:r>
          </w:p>
        </w:tc>
      </w:tr>
      <w:tr>
        <w:tc>
          <w:tcPr>
            <w:tcW w:type="dxa" w:w="2573"/>
          </w:tcPr>
          <w:p>
            <w:r/>
            <w:r>
              <w:rPr>
                <w:rFonts w:ascii="Arial" w:hAnsi="Arial"/>
                <w:b w:val="0"/>
                <w:sz w:val="18"/>
              </w:rPr>
              <w:t>Pyramid Principle / SCQA</w:t>
            </w:r>
          </w:p>
        </w:tc>
        <w:tc>
          <w:tcPr>
            <w:tcW w:type="dxa" w:w="3859"/>
          </w:tcPr>
          <w:p>
            <w:r/>
            <w:r>
              <w:rPr>
                <w:rFonts w:ascii="Arial" w:hAnsi="Arial"/>
                <w:b w:val="0"/>
                <w:sz w:val="18"/>
              </w:rPr>
              <w:t>Structures this memo</w:t>
            </w:r>
          </w:p>
        </w:tc>
        <w:tc>
          <w:tcPr>
            <w:tcW w:type="dxa" w:w="3216"/>
          </w:tcPr>
          <w:p>
            <w:r/>
            <w:r>
              <w:rPr>
                <w:rFonts w:ascii="Arial" w:hAnsi="Arial"/>
                <w:b w:val="0"/>
                <w:sz w:val="18"/>
              </w:rPr>
              <w:t>Answer-first, MECE pillars</w:t>
            </w:r>
          </w:p>
        </w:tc>
      </w:tr>
    </w:tbl>
    <w:p>
      <w:pPr>
        <w:spacing w:after="40"/>
      </w:pPr>
    </w:p>
    <w:p>
      <w:pPr>
        <w:pBdr>
          <w:bottom w:val="single" w:sz="14" w:space="4" w:color="2F9E8F"/>
        </w:pBdr>
        <w:spacing w:before="320" w:after="120"/>
      </w:pPr>
      <w:r>
        <w:rPr>
          <w:rFonts w:ascii="Arial" w:hAnsi="Arial"/>
          <w:b/>
          <w:color w:val="1F3864"/>
          <w:sz w:val="30"/>
        </w:rPr>
        <w:t>Financial logic  (illustrative, bottoms-up)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1885"/>
            <w:shd w:val="clear" w:fill="2E5496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Layer</w:t>
            </w:r>
          </w:p>
        </w:tc>
        <w:tc>
          <w:tcPr>
            <w:tcW w:type="dxa" w:w="4436"/>
            <w:shd w:val="clear" w:fill="2E5496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Definition</w:t>
            </w:r>
          </w:p>
        </w:tc>
        <w:tc>
          <w:tcPr>
            <w:tcW w:type="dxa" w:w="3327"/>
            <w:shd w:val="clear" w:fill="2E5496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Estimate</w:t>
            </w:r>
          </w:p>
        </w:tc>
      </w:tr>
      <w:tr>
        <w:tc>
          <w:tcPr>
            <w:tcW w:type="dxa" w:w="1885"/>
          </w:tcPr>
          <w:p>
            <w:r/>
            <w:r>
              <w:rPr>
                <w:rFonts w:ascii="Arial" w:hAnsi="Arial"/>
                <w:b w:val="0"/>
                <w:sz w:val="18"/>
              </w:rPr>
              <w:t>TAM</w:t>
            </w:r>
          </w:p>
        </w:tc>
        <w:tc>
          <w:tcPr>
            <w:tcW w:type="dxa" w:w="4436"/>
          </w:tcPr>
          <w:p>
            <w:r/>
            <w:r>
              <w:rPr>
                <w:rFonts w:ascii="Arial" w:hAnsi="Arial"/>
                <w:b w:val="0"/>
                <w:sz w:val="18"/>
              </w:rPr>
              <w:t>AI in Food &amp; Beverage (all applications)</w:t>
            </w:r>
          </w:p>
        </w:tc>
        <w:tc>
          <w:tcPr>
            <w:tcW w:type="dxa" w:w="3327"/>
          </w:tcPr>
          <w:p>
            <w:r/>
            <w:r>
              <w:rPr>
                <w:rFonts w:ascii="Arial" w:hAnsi="Arial"/>
                <w:b w:val="0"/>
                <w:sz w:val="18"/>
              </w:rPr>
              <w:t>~$16B (2025), ~39% CAGR</w:t>
            </w:r>
          </w:p>
        </w:tc>
      </w:tr>
      <w:tr>
        <w:tc>
          <w:tcPr>
            <w:tcW w:type="dxa" w:w="1885"/>
            <w:shd w:val="clear" w:fill="F2F2F2"/>
          </w:tcPr>
          <w:p>
            <w:r/>
            <w:r>
              <w:rPr>
                <w:rFonts w:ascii="Arial" w:hAnsi="Arial"/>
                <w:b w:val="0"/>
                <w:sz w:val="18"/>
              </w:rPr>
              <w:t>SAM</w:t>
            </w:r>
          </w:p>
        </w:tc>
        <w:tc>
          <w:tcPr>
            <w:tcW w:type="dxa" w:w="4436"/>
            <w:shd w:val="clear" w:fill="F2F2F2"/>
          </w:tcPr>
          <w:p>
            <w:r/>
            <w:r>
              <w:rPr>
                <w:rFonts w:ascii="Arial" w:hAnsi="Arial"/>
                <w:b w:val="0"/>
                <w:sz w:val="18"/>
              </w:rPr>
              <w:t>CPG software + consumer/trend-intelligence tooling</w:t>
            </w:r>
          </w:p>
        </w:tc>
        <w:tc>
          <w:tcPr>
            <w:tcW w:type="dxa" w:w="3327"/>
            <w:shd w:val="clear" w:fill="F2F2F2"/>
          </w:tcPr>
          <w:p>
            <w:r/>
            <w:r>
              <w:rPr>
                <w:rFonts w:ascii="Arial" w:hAnsi="Arial"/>
                <w:b w:val="0"/>
                <w:sz w:val="18"/>
              </w:rPr>
              <w:t>~$5–6B (2025) → ~$13B by 2034</w:t>
            </w:r>
          </w:p>
        </w:tc>
      </w:tr>
      <w:tr>
        <w:tc>
          <w:tcPr>
            <w:tcW w:type="dxa" w:w="1885"/>
          </w:tcPr>
          <w:p>
            <w:r/>
            <w:r>
              <w:rPr>
                <w:rFonts w:ascii="Arial" w:hAnsi="Arial"/>
                <w:b w:val="0"/>
                <w:sz w:val="18"/>
              </w:rPr>
              <w:t>SOM (3-yr obtainable)</w:t>
            </w:r>
          </w:p>
        </w:tc>
        <w:tc>
          <w:tcPr>
            <w:tcW w:type="dxa" w:w="4436"/>
          </w:tcPr>
          <w:p>
            <w:r/>
            <w:r>
              <w:rPr>
                <w:rFonts w:ascii="Arial" w:hAnsi="Arial"/>
                <w:b w:val="0"/>
                <w:sz w:val="18"/>
              </w:rPr>
              <w:t>Reachable mid/large CPG/F&amp;B/beauty accounts × win-rate × tier ACV</w:t>
            </w:r>
          </w:p>
        </w:tc>
        <w:tc>
          <w:tcPr>
            <w:tcW w:type="dxa" w:w="3327"/>
          </w:tcPr>
          <w:p>
            <w:r/>
            <w:r>
              <w:rPr>
                <w:rFonts w:ascii="Arial" w:hAnsi="Arial"/>
                <w:b w:val="0"/>
                <w:sz w:val="18"/>
              </w:rPr>
              <w:t>~$30–60M</w:t>
            </w:r>
          </w:p>
        </w:tc>
      </w:tr>
    </w:tbl>
    <w:p>
      <w:pPr>
        <w:spacing w:after="40"/>
      </w:pPr>
    </w:p>
    <w:p>
      <w:pPr>
        <w:spacing w:after="120"/>
      </w:pPr>
      <w:r>
        <w:rPr>
          <w:rFonts w:ascii="Arial" w:hAnsi="Arial"/>
          <w:b w:val="0"/>
          <w:i w:val="0"/>
          <w:color w:val="595959"/>
          <w:sz w:val="19"/>
        </w:rPr>
        <w:t>Efficiency guardrails: CAC payback ≤ 12–18 months (vs. ~20-month median) via PLG-assisted entry; NRR ≥ 110% via four upsell levers; tier ACV ratio ~1 : 4 : 12.</w:t>
      </w:r>
    </w:p>
    <w:p>
      <w:pPr>
        <w:pBdr>
          <w:bottom w:val="single" w:sz="14" w:space="4" w:color="2F9E8F"/>
        </w:pBdr>
        <w:spacing w:before="320" w:after="120"/>
      </w:pPr>
      <w:r>
        <w:rPr>
          <w:rFonts w:ascii="Arial" w:hAnsi="Arial"/>
          <w:b/>
          <w:color w:val="1F3864"/>
          <w:sz w:val="30"/>
        </w:rPr>
        <w:t>Risk register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984"/>
            <w:shd w:val="clear" w:fill="2E5496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Risk</w:t>
            </w:r>
          </w:p>
        </w:tc>
        <w:tc>
          <w:tcPr>
            <w:tcW w:type="dxa" w:w="1194"/>
            <w:shd w:val="clear" w:fill="2E5496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Likelihood</w:t>
            </w:r>
          </w:p>
        </w:tc>
        <w:tc>
          <w:tcPr>
            <w:tcW w:type="dxa" w:w="995"/>
            <w:shd w:val="clear" w:fill="2E5496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Impact</w:t>
            </w:r>
          </w:p>
        </w:tc>
        <w:tc>
          <w:tcPr>
            <w:tcW w:type="dxa" w:w="4476"/>
            <w:shd w:val="clear" w:fill="2E5496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Mitigation</w:t>
            </w:r>
          </w:p>
        </w:tc>
      </w:tr>
      <w:tr>
        <w:tc>
          <w:tcPr>
            <w:tcW w:type="dxa" w:w="2984"/>
          </w:tcPr>
          <w:p>
            <w:r/>
            <w:r>
              <w:rPr>
                <w:rFonts w:ascii="Arial" w:hAnsi="Arial"/>
                <w:b w:val="0"/>
                <w:sz w:val="18"/>
              </w:rPr>
              <w:t>Localization scope creep → bloat</w:t>
            </w:r>
          </w:p>
        </w:tc>
        <w:tc>
          <w:tcPr>
            <w:tcW w:type="dxa" w:w="1194"/>
          </w:tcPr>
          <w:p>
            <w:r/>
            <w:r>
              <w:rPr>
                <w:rFonts w:ascii="Arial" w:hAnsi="Arial"/>
                <w:b w:val="0"/>
                <w:sz w:val="18"/>
              </w:rPr>
              <w:t>High</w:t>
            </w:r>
          </w:p>
        </w:tc>
        <w:tc>
          <w:tcPr>
            <w:tcW w:type="dxa" w:w="995"/>
          </w:tcPr>
          <w:p>
            <w:r/>
            <w:r>
              <w:rPr>
                <w:rFonts w:ascii="Arial" w:hAnsi="Arial"/>
                <w:b w:val="0"/>
                <w:sz w:val="18"/>
              </w:rPr>
              <w:t>High</w:t>
            </w:r>
          </w:p>
        </w:tc>
        <w:tc>
          <w:tcPr>
            <w:tcW w:type="dxa" w:w="4476"/>
          </w:tcPr>
          <w:p>
            <w:r/>
            <w:r>
              <w:rPr>
                <w:rFonts w:ascii="Arial" w:hAnsi="Arial"/>
                <w:b w:val="0"/>
                <w:sz w:val="18"/>
              </w:rPr>
              <w:t>Hard config-not-code rule; tier-gate expensive localization</w:t>
            </w:r>
          </w:p>
        </w:tc>
      </w:tr>
      <w:tr>
        <w:tc>
          <w:tcPr>
            <w:tcW w:type="dxa" w:w="2984"/>
            <w:shd w:val="clear" w:fill="F2F2F2"/>
          </w:tcPr>
          <w:p>
            <w:r/>
            <w:r>
              <w:rPr>
                <w:rFonts w:ascii="Arial" w:hAnsi="Arial"/>
                <w:b w:val="0"/>
                <w:sz w:val="18"/>
              </w:rPr>
              <w:t>Mintel+Black Swan bundles &amp; undercuts</w:t>
            </w:r>
          </w:p>
        </w:tc>
        <w:tc>
          <w:tcPr>
            <w:tcW w:type="dxa" w:w="1194"/>
            <w:shd w:val="clear" w:fill="F2F2F2"/>
          </w:tcPr>
          <w:p>
            <w:r/>
            <w:r>
              <w:rPr>
                <w:rFonts w:ascii="Arial" w:hAnsi="Arial"/>
                <w:b w:val="0"/>
                <w:sz w:val="18"/>
              </w:rPr>
              <w:t>Med</w:t>
            </w:r>
          </w:p>
        </w:tc>
        <w:tc>
          <w:tcPr>
            <w:tcW w:type="dxa" w:w="995"/>
            <w:shd w:val="clear" w:fill="F2F2F2"/>
          </w:tcPr>
          <w:p>
            <w:r/>
            <w:r>
              <w:rPr>
                <w:rFonts w:ascii="Arial" w:hAnsi="Arial"/>
                <w:b w:val="0"/>
                <w:sz w:val="18"/>
              </w:rPr>
              <w:t>High</w:t>
            </w:r>
          </w:p>
        </w:tc>
        <w:tc>
          <w:tcPr>
            <w:tcW w:type="dxa" w:w="4476"/>
            <w:shd w:val="clear" w:fill="F2F2F2"/>
          </w:tcPr>
          <w:p>
            <w:r/>
            <w:r>
              <w:rPr>
                <w:rFonts w:ascii="Arial" w:hAnsi="Arial"/>
                <w:b w:val="0"/>
                <w:sz w:val="18"/>
              </w:rPr>
              <w:t>Win end-to-end + APAC white space fast; embed via workflow</w:t>
            </w:r>
          </w:p>
        </w:tc>
      </w:tr>
      <w:tr>
        <w:tc>
          <w:tcPr>
            <w:tcW w:type="dxa" w:w="2984"/>
          </w:tcPr>
          <w:p>
            <w:r/>
            <w:r>
              <w:rPr>
                <w:rFonts w:ascii="Arial" w:hAnsi="Arial"/>
                <w:b w:val="0"/>
                <w:sz w:val="18"/>
              </w:rPr>
              <w:t>US field-sales CAC overruns</w:t>
            </w:r>
          </w:p>
        </w:tc>
        <w:tc>
          <w:tcPr>
            <w:tcW w:type="dxa" w:w="1194"/>
          </w:tcPr>
          <w:p>
            <w:r/>
            <w:r>
              <w:rPr>
                <w:rFonts w:ascii="Arial" w:hAnsi="Arial"/>
                <w:b w:val="0"/>
                <w:sz w:val="18"/>
              </w:rPr>
              <w:t>Med</w:t>
            </w:r>
          </w:p>
        </w:tc>
        <w:tc>
          <w:tcPr>
            <w:tcW w:type="dxa" w:w="995"/>
          </w:tcPr>
          <w:p>
            <w:r/>
            <w:r>
              <w:rPr>
                <w:rFonts w:ascii="Arial" w:hAnsi="Arial"/>
                <w:b w:val="0"/>
                <w:sz w:val="18"/>
              </w:rPr>
              <w:t>Med</w:t>
            </w:r>
          </w:p>
        </w:tc>
        <w:tc>
          <w:tcPr>
            <w:tcW w:type="dxa" w:w="4476"/>
          </w:tcPr>
          <w:p>
            <w:r/>
            <w:r>
              <w:rPr>
                <w:rFonts w:ascii="Arial" w:hAnsi="Arial"/>
                <w:b w:val="0"/>
                <w:sz w:val="18"/>
              </w:rPr>
              <w:t>Stage spend behind Wave-1 references; PLG funnel feeds Enterprise</w:t>
            </w:r>
          </w:p>
        </w:tc>
      </w:tr>
      <w:tr>
        <w:tc>
          <w:tcPr>
            <w:tcW w:type="dxa" w:w="2984"/>
            <w:shd w:val="clear" w:fill="F2F2F2"/>
          </w:tcPr>
          <w:p>
            <w:r/>
            <w:r>
              <w:rPr>
                <w:rFonts w:ascii="Arial" w:hAnsi="Arial"/>
                <w:b w:val="0"/>
                <w:sz w:val="18"/>
              </w:rPr>
              <w:t>Price localization erodes margin</w:t>
            </w:r>
          </w:p>
        </w:tc>
        <w:tc>
          <w:tcPr>
            <w:tcW w:type="dxa" w:w="1194"/>
            <w:shd w:val="clear" w:fill="F2F2F2"/>
          </w:tcPr>
          <w:p>
            <w:r/>
            <w:r>
              <w:rPr>
                <w:rFonts w:ascii="Arial" w:hAnsi="Arial"/>
                <w:b w:val="0"/>
                <w:sz w:val="18"/>
              </w:rPr>
              <w:t>Med</w:t>
            </w:r>
          </w:p>
        </w:tc>
        <w:tc>
          <w:tcPr>
            <w:tcW w:type="dxa" w:w="995"/>
            <w:shd w:val="clear" w:fill="F2F2F2"/>
          </w:tcPr>
          <w:p>
            <w:r/>
            <w:r>
              <w:rPr>
                <w:rFonts w:ascii="Arial" w:hAnsi="Arial"/>
                <w:b w:val="0"/>
                <w:sz w:val="18"/>
              </w:rPr>
              <w:t>Med</w:t>
            </w:r>
          </w:p>
        </w:tc>
        <w:tc>
          <w:tcPr>
            <w:tcW w:type="dxa" w:w="4476"/>
            <w:shd w:val="clear" w:fill="F2F2F2"/>
          </w:tcPr>
          <w:p>
            <w:r/>
            <w:r>
              <w:rPr>
                <w:rFonts w:ascii="Arial" w:hAnsi="Arial"/>
                <w:b w:val="0"/>
                <w:sz w:val="18"/>
              </w:rPr>
              <w:t>Multipliers + contracting discipline; usage upside protects ARPU</w:t>
            </w:r>
          </w:p>
        </w:tc>
      </w:tr>
      <w:tr>
        <w:tc>
          <w:tcPr>
            <w:tcW w:type="dxa" w:w="2984"/>
          </w:tcPr>
          <w:p>
            <w:r/>
            <w:r>
              <w:rPr>
                <w:rFonts w:ascii="Arial" w:hAnsi="Arial"/>
                <w:b w:val="0"/>
                <w:sz w:val="18"/>
              </w:rPr>
              <w:t>Compliance/residency gaps block deals</w:t>
            </w:r>
          </w:p>
        </w:tc>
        <w:tc>
          <w:tcPr>
            <w:tcW w:type="dxa" w:w="1194"/>
          </w:tcPr>
          <w:p>
            <w:r/>
            <w:r>
              <w:rPr>
                <w:rFonts w:ascii="Arial" w:hAnsi="Arial"/>
                <w:b w:val="0"/>
                <w:sz w:val="18"/>
              </w:rPr>
              <w:t>Med</w:t>
            </w:r>
          </w:p>
        </w:tc>
        <w:tc>
          <w:tcPr>
            <w:tcW w:type="dxa" w:w="995"/>
          </w:tcPr>
          <w:p>
            <w:r/>
            <w:r>
              <w:rPr>
                <w:rFonts w:ascii="Arial" w:hAnsi="Arial"/>
                <w:b w:val="0"/>
                <w:sz w:val="18"/>
              </w:rPr>
              <w:t>High</w:t>
            </w:r>
          </w:p>
        </w:tc>
        <w:tc>
          <w:tcPr>
            <w:tcW w:type="dxa" w:w="4476"/>
          </w:tcPr>
          <w:p>
            <w:r/>
            <w:r>
              <w:rPr>
                <w:rFonts w:ascii="Arial" w:hAnsi="Arial"/>
                <w:b w:val="0"/>
                <w:sz w:val="18"/>
              </w:rPr>
              <w:t>Build residency once (US), reuse in EU; gate at Enterprise</w:t>
            </w:r>
          </w:p>
        </w:tc>
      </w:tr>
      <w:tr>
        <w:tc>
          <w:tcPr>
            <w:tcW w:type="dxa" w:w="2984"/>
            <w:shd w:val="clear" w:fill="F2F2F2"/>
          </w:tcPr>
          <w:p>
            <w:r/>
            <w:r>
              <w:rPr>
                <w:rFonts w:ascii="Arial" w:hAnsi="Arial"/>
                <w:b w:val="0"/>
                <w:sz w:val="18"/>
              </w:rPr>
              <w:t>Over-extension across markets</w:t>
            </w:r>
          </w:p>
        </w:tc>
        <w:tc>
          <w:tcPr>
            <w:tcW w:type="dxa" w:w="1194"/>
            <w:shd w:val="clear" w:fill="F2F2F2"/>
          </w:tcPr>
          <w:p>
            <w:r/>
            <w:r>
              <w:rPr>
                <w:rFonts w:ascii="Arial" w:hAnsi="Arial"/>
                <w:b w:val="0"/>
                <w:sz w:val="18"/>
              </w:rPr>
              <w:t>Med</w:t>
            </w:r>
          </w:p>
        </w:tc>
        <w:tc>
          <w:tcPr>
            <w:tcW w:type="dxa" w:w="995"/>
            <w:shd w:val="clear" w:fill="F2F2F2"/>
          </w:tcPr>
          <w:p>
            <w:r/>
            <w:r>
              <w:rPr>
                <w:rFonts w:ascii="Arial" w:hAnsi="Arial"/>
                <w:b w:val="0"/>
                <w:sz w:val="18"/>
              </w:rPr>
              <w:t>High</w:t>
            </w:r>
          </w:p>
        </w:tc>
        <w:tc>
          <w:tcPr>
            <w:tcW w:type="dxa" w:w="4476"/>
            <w:shd w:val="clear" w:fill="F2F2F2"/>
          </w:tcPr>
          <w:p>
            <w:r/>
            <w:r>
              <w:rPr>
                <w:rFonts w:ascii="Arial" w:hAnsi="Arial"/>
                <w:b w:val="0"/>
                <w:sz w:val="18"/>
              </w:rPr>
              <w:t>Engine enforces sequencing; expand-or-exit gate per market</w:t>
            </w:r>
          </w:p>
        </w:tc>
      </w:tr>
    </w:tbl>
    <w:p>
      <w:pPr>
        <w:spacing w:after="40"/>
      </w:pPr>
    </w:p>
    <w:p>
      <w:pPr>
        <w:pBdr>
          <w:bottom w:val="single" w:sz="14" w:space="4" w:color="2F9E8F"/>
        </w:pBdr>
        <w:spacing w:before="320" w:after="120"/>
      </w:pPr>
      <w:r>
        <w:rPr>
          <w:rFonts w:ascii="Arial" w:hAnsi="Arial"/>
          <w:b/>
          <w:color w:val="1F3864"/>
          <w:sz w:val="30"/>
        </w:rPr>
        <w:t>90-day plan &amp; roadmap</w:t>
      </w:r>
    </w:p>
    <w:p>
      <w:pPr>
        <w:pStyle w:val="ListBullet"/>
        <w:spacing w:after="60"/>
      </w:pPr>
      <w:r>
        <w:rPr>
          <w:rFonts w:ascii="Arial" w:hAnsi="Arial"/>
          <w:b/>
          <w:sz w:val="21"/>
        </w:rPr>
        <w:t>Days 0–30:</w:t>
      </w:r>
      <w:r>
        <w:rPr>
          <w:rFonts w:ascii="Arial" w:hAnsi="Arial"/>
          <w:sz w:val="21"/>
        </w:rPr>
        <w:t xml:space="preserve"> ratify tiers &amp; entitlements; freeze localization matrix; define Market Pack spec; instrument usage metering.</w:t>
      </w:r>
    </w:p>
    <w:p>
      <w:pPr>
        <w:pStyle w:val="ListBullet"/>
        <w:spacing w:after="60"/>
      </w:pPr>
      <w:r>
        <w:rPr>
          <w:rFonts w:ascii="Arial" w:hAnsi="Arial"/>
          <w:b/>
          <w:sz w:val="21"/>
        </w:rPr>
        <w:t>Days 31–60:</w:t>
      </w:r>
      <w:r>
        <w:rPr>
          <w:rFonts w:ascii="Arial" w:hAnsi="Arial"/>
          <w:sz w:val="21"/>
        </w:rPr>
        <w:t xml:space="preserve"> launch Essentials self-serve + sample-report funnel; stand up hybrid price book + regional multipliers; ship the spreadsheet decision engine.</w:t>
      </w:r>
    </w:p>
    <w:p>
      <w:pPr>
        <w:pStyle w:val="ListBullet"/>
        <w:spacing w:after="60"/>
      </w:pPr>
      <w:r>
        <w:rPr>
          <w:rFonts w:ascii="Arial" w:hAnsi="Arial"/>
          <w:b/>
          <w:sz w:val="21"/>
        </w:rPr>
        <w:t>Days 61–90:</w:t>
      </w:r>
      <w:r>
        <w:rPr>
          <w:rFonts w:ascii="Arial" w:hAnsi="Arial"/>
          <w:sz w:val="21"/>
        </w:rPr>
        <w:t xml:space="preserve"> deepen SEA/India packs; sign 2–3 reference logos; finalize US Enterprise motion (integrations, residency, security) for Wave 2.</w:t>
      </w:r>
    </w:p>
    <w:p>
      <w:pPr>
        <w:pStyle w:val="ListBullet"/>
        <w:spacing w:after="60"/>
      </w:pPr>
      <w:r>
        <w:rPr>
          <w:rFonts w:ascii="Arial" w:hAnsi="Arial"/>
          <w:b/>
          <w:sz w:val="21"/>
        </w:rPr>
        <w:t>Year 2:</w:t>
      </w:r>
      <w:r>
        <w:rPr>
          <w:rFonts w:ascii="Arial" w:hAnsi="Arial"/>
          <w:sz w:val="21"/>
        </w:rPr>
        <w:t xml:space="preserve"> W. Europe (reuse compliance) + Japan/Korea (partners); productize the Market Launchpad.</w:t>
      </w:r>
    </w:p>
    <w:p>
      <w:pPr>
        <w:spacing w:before="200"/>
      </w:pPr>
      <w:r>
        <w:rPr>
          <w:b/>
          <w:color w:val="1F3864"/>
          <w:sz w:val="22"/>
        </w:rPr>
        <w:t>The one-line thesis</w:t>
      </w:r>
    </w:p>
    <w:p>
      <w:pPr>
        <w:shd w:val="clear" w:fill="E2EFDA"/>
      </w:pPr>
      <w:r>
        <w:rPr>
          <w:i/>
          <w:color w:val="2E5496"/>
          <w:sz w:val="22"/>
        </w:rPr>
        <w:t>Standardize the engine, localize the edge, package by maturity, price by willingness-to-pay, and let motion follow ACV — wrapped in one repeatable engine so growth compounds instead of fragmenting.</w:t>
      </w:r>
    </w:p>
    <w:sectPr w:rsidR="00FC693F" w:rsidRPr="0006063C" w:rsidSect="00034616">
      <w:footerReference w:type="default" r:id="rId9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95959"/>
        <w:sz w:val="16"/>
      </w:rPr>
      <w:t xml:space="preserve">MarketPulse  ·  Ai Palette Expansion &amp; Monetization Strategy  ·  Strategy Memo  ·  page </w:t>
    </w:r>
    <w:r/>
    <w:fldSimple w:instr="PAGE"/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